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714" w:rsidRDefault="00E13714">
      <w:pPr>
        <w:pStyle w:val="Default"/>
        <w:jc w:val="center"/>
      </w:pPr>
    </w:p>
    <w:p w:rsidR="00E13714" w:rsidRDefault="009B4DEA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№</w:t>
      </w:r>
      <w:r>
        <w:rPr>
          <w:b/>
          <w:bCs/>
          <w:i/>
          <w:iCs/>
          <w:sz w:val="22"/>
          <w:szCs w:val="22"/>
          <w:lang w:val="en-US"/>
        </w:rPr>
        <w:t>${contract_number}</w:t>
      </w:r>
    </w:p>
    <w:tbl>
      <w:tblPr>
        <w:tblW w:w="1451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606"/>
        <w:gridCol w:w="4909"/>
      </w:tblGrid>
      <w:tr w:rsidR="00E13714">
        <w:trPr>
          <w:trHeight w:val="98"/>
        </w:trPr>
        <w:tc>
          <w:tcPr>
            <w:tcW w:w="9606" w:type="dxa"/>
          </w:tcPr>
          <w:p w:rsidR="00E13714" w:rsidRDefault="009B4DEA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OLDI-SOTDI SHARTNOMASI</w:t>
            </w:r>
          </w:p>
          <w:p w:rsidR="00E13714" w:rsidRDefault="00E13714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9" w:type="dxa"/>
          </w:tcPr>
          <w:p w:rsidR="00E13714" w:rsidRDefault="00E13714">
            <w:pPr>
              <w:pStyle w:val="Default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E13714" w:rsidRDefault="00E1371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E13714" w:rsidRDefault="00E13714">
      <w:pPr>
        <w:jc w:val="both"/>
        <w:rPr>
          <w:rFonts w:ascii="Times New Roman" w:hAnsi="Times New Roman" w:cs="Times New Roman"/>
        </w:rPr>
      </w:pPr>
    </w:p>
    <w:p w:rsidR="00E13714" w:rsidRDefault="009B4DEA">
      <w:pPr>
        <w:pStyle w:val="Heading1"/>
      </w:pPr>
      <w:r>
        <w:t>Toshkent shahar</w:t>
      </w:r>
      <w:bookmarkStart w:id="0" w:name="_Hlk173499304"/>
      <w:r>
        <w:t xml:space="preserve">       </w:t>
      </w:r>
      <w:r>
        <w:rPr>
          <w:lang w:val="uz-Cyrl-UZ"/>
        </w:rPr>
        <w:t>“</w:t>
      </w:r>
      <w:r>
        <w:t>${date_day_in_num}</w:t>
      </w:r>
      <w:r>
        <w:rPr>
          <w:lang w:val="uz-Cyrl-UZ"/>
        </w:rPr>
        <w:t>”</w:t>
      </w:r>
      <w:bookmarkEnd w:id="0"/>
      <w:r>
        <w:t xml:space="preserve"> ${date_month} ${date_year_in_num} yil</w:t>
      </w:r>
    </w:p>
    <w:p w:rsidR="00E13714" w:rsidRDefault="00E13714">
      <w:pPr>
        <w:pStyle w:val="Default"/>
        <w:jc w:val="both"/>
        <w:rPr>
          <w:lang w:val="en-US"/>
        </w:rPr>
      </w:pPr>
    </w:p>
    <w:p w:rsidR="00E13714" w:rsidRDefault="009B4DEA">
      <w:pPr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${client_company_name}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” М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CHJ</w:t>
      </w:r>
      <w:r>
        <w:rPr>
          <w:rFonts w:ascii="Times New Roman" w:hAnsi="Times New Roman" w:cs="Times New Roman"/>
          <w:b/>
          <w:b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bundan keyin «</w:t>
      </w:r>
      <w:r>
        <w:rPr>
          <w:rFonts w:ascii="Times New Roman" w:hAnsi="Times New Roman" w:cs="Times New Roman"/>
          <w:b/>
          <w:bCs/>
          <w:lang w:val="en-US"/>
        </w:rPr>
        <w:t xml:space="preserve">XARIDOR» </w:t>
      </w:r>
      <w:r>
        <w:rPr>
          <w:rFonts w:ascii="Times New Roman" w:hAnsi="Times New Roman" w:cs="Times New Roman"/>
          <w:lang w:val="en-US"/>
        </w:rPr>
        <w:t xml:space="preserve">deb ataluvchi, nomidan Nizom asosida ish yurituvchi direktor </w:t>
      </w:r>
      <w:r>
        <w:rPr>
          <w:rFonts w:ascii="Times New Roman" w:hAnsi="Times New Roman" w:cs="Times New Roman"/>
          <w:b/>
          <w:lang w:val="en-US"/>
        </w:rPr>
        <w:t>${client_full_name}</w:t>
      </w:r>
      <w:r>
        <w:rPr>
          <w:rFonts w:ascii="Times New Roman" w:hAnsi="Times New Roman" w:cs="Times New Roman"/>
          <w:lang w:val="en-US"/>
        </w:rPr>
        <w:t xml:space="preserve"> bir tomondan va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“SUN-HIGHTECH” М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CHJ</w:t>
      </w:r>
      <w:r>
        <w:rPr>
          <w:rFonts w:ascii="Times New Roman" w:hAnsi="Times New Roman" w:cs="Times New Roman"/>
          <w:lang w:val="en-US"/>
        </w:rPr>
        <w:t>, bundan keyin «</w:t>
      </w:r>
      <w:r>
        <w:rPr>
          <w:rFonts w:ascii="Times New Roman" w:hAnsi="Times New Roman" w:cs="Times New Roman"/>
          <w:b/>
          <w:bCs/>
          <w:lang w:val="en-US"/>
        </w:rPr>
        <w:t xml:space="preserve">SOTUVCHI» </w:t>
      </w:r>
      <w:r>
        <w:rPr>
          <w:rFonts w:ascii="Times New Roman" w:hAnsi="Times New Roman" w:cs="Times New Roman"/>
          <w:lang w:val="en-US"/>
        </w:rPr>
        <w:t>deb ataluvchi, nomidan Nizom asosida ish yurituvchi Bosh</w:t>
      </w:r>
      <w:r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direktor </w:t>
      </w:r>
      <w:r>
        <w:rPr>
          <w:rFonts w:ascii="Times New Roman" w:hAnsi="Times New Roman" w:cs="Times New Roman"/>
          <w:b/>
          <w:lang w:val="en-US"/>
        </w:rPr>
        <w:t>${seller_director_full_name}</w:t>
      </w:r>
      <w:r>
        <w:rPr>
          <w:rFonts w:ascii="Times New Roman" w:hAnsi="Times New Roman" w:cs="Times New Roman"/>
          <w:b/>
          <w:b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(bundan keyin birgalikda </w:t>
      </w:r>
      <w:r>
        <w:rPr>
          <w:rFonts w:ascii="Times New Roman" w:hAnsi="Times New Roman" w:cs="Times New Roman"/>
          <w:b/>
          <w:bCs/>
          <w:lang w:val="en-US"/>
        </w:rPr>
        <w:t xml:space="preserve">«TOMONLAR» </w:t>
      </w:r>
      <w:r>
        <w:rPr>
          <w:rFonts w:ascii="Times New Roman" w:hAnsi="Times New Roman" w:cs="Times New Roman"/>
          <w:lang w:val="en-US"/>
        </w:rPr>
        <w:t xml:space="preserve">deb ataladi) ushbu Shartnomani quyidagilar </w:t>
      </w:r>
      <w:r>
        <w:rPr>
          <w:rFonts w:ascii="Times New Roman" w:hAnsi="Times New Roman" w:cs="Times New Roman"/>
          <w:lang w:val="en-US"/>
        </w:rPr>
        <w:t>haqida tuzdilar:</w:t>
      </w:r>
    </w:p>
    <w:p w:rsidR="00E13714" w:rsidRDefault="009B4DEA">
      <w:pPr>
        <w:pStyle w:val="Default"/>
        <w:jc w:val="center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I. SHARTNOMANING PREDMETI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1.1. </w:t>
      </w:r>
      <w:r>
        <w:rPr>
          <w:sz w:val="22"/>
          <w:szCs w:val="22"/>
          <w:lang w:val="en-US"/>
        </w:rPr>
        <w:t>Mazkur shartnoma bo’yicha «SOTUVCHI» turi, miqdori, assortimenti, to’liqligi, xususiyatlari, narxi va boshqa ma’lumotlari ushbu shartnomaning ajralmas qismi hisoblangan 1-ilovada ko’rsatilgan mahsulotlarni to</w:t>
      </w:r>
      <w:r>
        <w:rPr>
          <w:sz w:val="22"/>
          <w:szCs w:val="22"/>
          <w:lang w:val="en-US"/>
        </w:rPr>
        <w:t xml:space="preserve">pshiradi, «XARIDOR» to’lovni amalga oshiradi va tovarni qabul qilib oladi. Topshiriladigan mahsulotlar keyingi o’rinlarda «TOVAR» deb yuritiladi. </w:t>
      </w:r>
    </w:p>
    <w:p w:rsidR="00E13714" w:rsidRDefault="00E13714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:rsidR="00E13714" w:rsidRDefault="009B4DEA">
      <w:pPr>
        <w:pStyle w:val="Default"/>
        <w:jc w:val="center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II. TOVARNING NARXI VA TOʻLOV TARTIBI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2.1. </w:t>
      </w:r>
      <w:r>
        <w:rPr>
          <w:sz w:val="22"/>
          <w:szCs w:val="22"/>
          <w:lang w:val="en-US"/>
        </w:rPr>
        <w:t>Tovarlarning qiymati ushbu Shartnomaning ajralmas qismi bo'lgan 1</w:t>
      </w:r>
      <w:r>
        <w:rPr>
          <w:sz w:val="22"/>
          <w:szCs w:val="22"/>
          <w:lang w:val="en-US"/>
        </w:rPr>
        <w:t xml:space="preserve">-ilovada ko’rsatiladi. 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2.2. </w:t>
      </w:r>
      <w:r>
        <w:rPr>
          <w:sz w:val="22"/>
          <w:szCs w:val="22"/>
          <w:lang w:val="en-US"/>
        </w:rPr>
        <w:t xml:space="preserve">Ushbu shartnoma boʻyicha toʻlov «XARIDOR» tomonidan «SOTUVCHI» hisob raqamiga pul mablagʻlarini ko’chirish orqali amalga oshiriladi. 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2.3. </w:t>
      </w:r>
      <w:r>
        <w:rPr>
          <w:sz w:val="22"/>
          <w:szCs w:val="22"/>
          <w:lang w:val="en-US"/>
        </w:rPr>
        <w:t>«XARIDOR» ushbu shartnoma imzolangan kundan boshlab 5 (besh) bank ish kuni mobaynida sha</w:t>
      </w:r>
      <w:r>
        <w:rPr>
          <w:sz w:val="22"/>
          <w:szCs w:val="22"/>
          <w:lang w:val="en-US"/>
        </w:rPr>
        <w:t xml:space="preserve">rtnoma qiymatining 100% foizi miqdorida oldindan toʻlov amalga oshiradi. </w:t>
      </w:r>
    </w:p>
    <w:p w:rsidR="00E13714" w:rsidRDefault="00E13714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:rsidR="00E13714" w:rsidRDefault="009B4DEA">
      <w:pPr>
        <w:pStyle w:val="Default"/>
        <w:jc w:val="center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III. TOVARLARNI YETKAZIB BERISH TARTIBI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3.1. </w:t>
      </w:r>
      <w:r>
        <w:rPr>
          <w:sz w:val="22"/>
          <w:szCs w:val="22"/>
          <w:lang w:val="en-US"/>
        </w:rPr>
        <w:t xml:space="preserve">Yetkazib berilish tartibi – «SOTUVCHI» ning omboridan «XARIDOR» ning o’zi o’z kuchlari hisobiga olib chiqib ketadi. 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3.2. </w:t>
      </w:r>
      <w:r>
        <w:rPr>
          <w:sz w:val="22"/>
          <w:szCs w:val="22"/>
          <w:lang w:val="en-US"/>
        </w:rPr>
        <w:t xml:space="preserve">«TOVAR»lar «XARIDOR» tomonidan hisobvaraq faktura yoki topshirish-qabul qilish dalolatnomasi imzolangandan so’ng qabul qilingan hisoblanadi. </w:t>
      </w:r>
    </w:p>
    <w:p w:rsidR="00E13714" w:rsidRDefault="00E13714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:rsidR="00E13714" w:rsidRDefault="009B4DEA">
      <w:pPr>
        <w:pStyle w:val="Default"/>
        <w:jc w:val="center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IV. SHARTNOMA BOʻYICHA TOMONLARNING HUQUQLARI VA MAJBURIYATLARI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4.1. </w:t>
      </w:r>
      <w:r>
        <w:rPr>
          <w:sz w:val="22"/>
          <w:szCs w:val="22"/>
          <w:lang w:val="en-US"/>
        </w:rPr>
        <w:t>«XARIDOR» yuklashdan avval tovarlarning sifa</w:t>
      </w:r>
      <w:r>
        <w:rPr>
          <w:sz w:val="22"/>
          <w:szCs w:val="22"/>
          <w:lang w:val="en-US"/>
        </w:rPr>
        <w:t xml:space="preserve">ti va sonini tekshirishi, sifatida kamchilik bo’lsa boshqasiga almashtirilishini so’rash huquqiga ega. 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4.4. </w:t>
      </w:r>
      <w:r>
        <w:rPr>
          <w:sz w:val="22"/>
          <w:szCs w:val="22"/>
          <w:lang w:val="en-US"/>
        </w:rPr>
        <w:t xml:space="preserve">«XARIDOR» shartnomaning 2.3-bandida ko’rsatilgan muddatlarda to’lovni amalga oshirish majburiyatiga ega. 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4.5. </w:t>
      </w:r>
      <w:r>
        <w:rPr>
          <w:sz w:val="22"/>
          <w:szCs w:val="22"/>
          <w:lang w:val="en-US"/>
        </w:rPr>
        <w:t>«SOTUVCHI» shartnomaning 2.3-bandida</w:t>
      </w:r>
      <w:r>
        <w:rPr>
          <w:sz w:val="22"/>
          <w:szCs w:val="22"/>
          <w:lang w:val="en-US"/>
        </w:rPr>
        <w:t xml:space="preserve"> ko’rsatilgan muddatda oldindan to’lov amalga oshirilmasa shartnomani bir tomonlama bekor qilish huquqiga ega. 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4.6. </w:t>
      </w:r>
      <w:r>
        <w:rPr>
          <w:sz w:val="22"/>
          <w:szCs w:val="22"/>
          <w:lang w:val="en-US"/>
        </w:rPr>
        <w:t>«SOTUVCHI» «XARIDOR» dan olib chiqib ketiladigan tovarlar uchun belgilangan tartibda rasmiylashtirilgan ishonchnomani taqdim qilinishini so</w:t>
      </w:r>
      <w:r>
        <w:rPr>
          <w:sz w:val="22"/>
          <w:szCs w:val="22"/>
          <w:lang w:val="en-US"/>
        </w:rPr>
        <w:t xml:space="preserve">’rashi, ishonchnoma taqdim etilmagunga qadar tovarlarni topshirmaslik va EHF (elektron hisobvaraq-faktura) rasmiylashtirmaslik huquqiga ega. 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4.7. </w:t>
      </w:r>
      <w:r>
        <w:rPr>
          <w:sz w:val="22"/>
          <w:szCs w:val="22"/>
          <w:lang w:val="en-US"/>
        </w:rPr>
        <w:t>Topshirish-qabul qilish amalga oshirilgandan so’ng «SOTUVCHI» tovarlarning soni va holati yuzasidan «XARIDOR»</w:t>
      </w:r>
      <w:r>
        <w:rPr>
          <w:sz w:val="22"/>
          <w:szCs w:val="22"/>
          <w:lang w:val="en-US"/>
        </w:rPr>
        <w:t xml:space="preserve"> tomonidan qilingan e’tirozlarni ko’rib chiqmaslik huquqiga ega. </w:t>
      </w:r>
    </w:p>
    <w:p w:rsidR="00E13714" w:rsidRDefault="00E13714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:rsidR="00E13714" w:rsidRDefault="009B4DEA">
      <w:pPr>
        <w:pStyle w:val="Default"/>
        <w:jc w:val="center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V. DAʼVOLARNI TAQDIM ETISH VA KOʻRIB CHIQISH TARTIBI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5.1. </w:t>
      </w:r>
      <w:r>
        <w:rPr>
          <w:sz w:val="22"/>
          <w:szCs w:val="22"/>
          <w:lang w:val="en-US"/>
        </w:rPr>
        <w:t xml:space="preserve">Ushbu shartnoma boʻyicha huquqlari va qonuniy manfaatlari buzilgan «TOMON» boshqa «TOMON»ga ushbu shartnomada belgilanmagan boshqa </w:t>
      </w:r>
      <w:r>
        <w:rPr>
          <w:sz w:val="22"/>
          <w:szCs w:val="22"/>
          <w:lang w:val="en-US"/>
        </w:rPr>
        <w:t xml:space="preserve">choralar yuzasidan qonun hujjatlarida belgilangan tartibda va muddatlarda daʼvolar qoʻyish huquqiga ega. 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5.2. </w:t>
      </w:r>
      <w:r>
        <w:rPr>
          <w:sz w:val="22"/>
          <w:szCs w:val="22"/>
          <w:lang w:val="en-US"/>
        </w:rPr>
        <w:t xml:space="preserve">Ushbu shartnoma boʻyicha daʼvo arizasi berilgan «TOMON» daʼvo olingan kundan boshlab </w:t>
      </w:r>
      <w:r>
        <w:rPr>
          <w:sz w:val="22"/>
          <w:szCs w:val="22"/>
          <w:lang w:val="en-US"/>
        </w:rPr>
        <w:br/>
        <w:t>30 (oʻttiz) kun ichida ushbu daʼvoga yozma javob berishga m</w:t>
      </w:r>
      <w:r>
        <w:rPr>
          <w:sz w:val="22"/>
          <w:szCs w:val="22"/>
          <w:lang w:val="en-US"/>
        </w:rPr>
        <w:t xml:space="preserve">ajburdir. 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5.3. Belgilangan muddatlarda daʼvo arizasi rad et</w:t>
      </w:r>
      <w:r>
        <w:rPr>
          <w:sz w:val="22"/>
          <w:szCs w:val="22"/>
          <w:lang w:val="en-US"/>
        </w:rPr>
        <w:t xml:space="preserve">ilgan (qisman rad etilgan) yoki javob ololmagan «TOMON», tegishli sud qarorini olish uchun Toshkent shahar iqtisodiy sudiga daʼvo arizasi bilan murojaat qilishi mumkin. </w:t>
      </w:r>
    </w:p>
    <w:p w:rsidR="00E13714" w:rsidRDefault="00E13714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:rsidR="00E13714" w:rsidRDefault="009B4DEA">
      <w:pPr>
        <w:pStyle w:val="Default"/>
        <w:jc w:val="center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VI. SHARTNOMA BOʻYICHA MA</w:t>
      </w:r>
      <w:r>
        <w:rPr>
          <w:b/>
          <w:bCs/>
          <w:sz w:val="22"/>
          <w:szCs w:val="22"/>
          <w:lang w:val="en-US"/>
        </w:rPr>
        <w:t>JBURIYATLARINI</w:t>
      </w:r>
    </w:p>
    <w:p w:rsidR="00E13714" w:rsidRDefault="009B4DEA">
      <w:pPr>
        <w:pStyle w:val="Default"/>
        <w:jc w:val="center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BUZGANLIK UCHUN JAVOBGARLIK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6.1. «</w:t>
      </w:r>
      <w:r>
        <w:rPr>
          <w:sz w:val="22"/>
          <w:szCs w:val="22"/>
          <w:lang w:val="en-US"/>
        </w:rPr>
        <w:t>TOVAR»ni topshirish muddatlari oʻz vaqtida bajarilmagan taqdirda, «SOTUVCHI» «XARIDOR</w:t>
      </w:r>
      <w:r>
        <w:rPr>
          <w:sz w:val="22"/>
          <w:szCs w:val="22"/>
          <w:lang w:val="en-US"/>
        </w:rPr>
        <w:t xml:space="preserve">»ga kechiktirilgan har bir kun uchun «TOVAR» qiymatining 0,04% miqdorida, lekin «TOVAR» qiymatining 20% dan koʻp boʻlmagan miqdorda jarima toʻlaydi. 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6.2. </w:t>
      </w:r>
      <w:r>
        <w:rPr>
          <w:sz w:val="22"/>
          <w:szCs w:val="22"/>
          <w:lang w:val="en-US"/>
        </w:rPr>
        <w:t>Ushbu Shartnomada nazarda tutilgan muddatlarda toʻlovni oʻz vaqtida toʻlamaganlik va (yoki) kechiktir</w:t>
      </w:r>
      <w:r>
        <w:rPr>
          <w:sz w:val="22"/>
          <w:szCs w:val="22"/>
          <w:lang w:val="en-US"/>
        </w:rPr>
        <w:t xml:space="preserve">ganlik uchun «XARIDOR» «SOTUVCHI»ga kechiktirilgan har bir kun uchun 0,04% miqdorida, lekin kechiktirilgan toʻlovning 50% dan koʻp boʻlmagan miqdorda jarima toʻlaydi. </w:t>
      </w:r>
    </w:p>
    <w:p w:rsidR="00E13714" w:rsidRDefault="00E13714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:rsidR="00E13714" w:rsidRDefault="009B4DEA">
      <w:pPr>
        <w:pStyle w:val="Default"/>
        <w:jc w:val="center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VII. FORS-MAJOR HOLATLARI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7.1. </w:t>
      </w:r>
      <w:r>
        <w:rPr>
          <w:sz w:val="22"/>
          <w:szCs w:val="22"/>
          <w:lang w:val="en-US"/>
        </w:rPr>
        <w:t>«TOMONLAR» shartnoma boʻyicha majburiyatlarni bajarmagan</w:t>
      </w:r>
      <w:r>
        <w:rPr>
          <w:sz w:val="22"/>
          <w:szCs w:val="22"/>
          <w:lang w:val="en-US"/>
        </w:rPr>
        <w:t xml:space="preserve">liklari uchun, agar ularni bajarishning ilojsizligi shartnoma boʻyicha majburiyatlarning bajarilishiga bevosita taʼsir qiluvchi tabiiy ofatlar yoki harbiy harakatlar, shuningdek, davlat organlari tomonidan ushbu shartnoma shartlarini bajarishga toʻsqinlik </w:t>
      </w:r>
      <w:r>
        <w:rPr>
          <w:sz w:val="22"/>
          <w:szCs w:val="22"/>
          <w:lang w:val="en-US"/>
        </w:rPr>
        <w:t xml:space="preserve">qiluvchi qonun hujjatlarini qabul qilish va (yoki) oʻzgartirish kabi fors-major holatlari natijasida yuz bergan boʻlsa, javobgar boʻlmaydilar. </w:t>
      </w:r>
    </w:p>
    <w:p w:rsidR="00E13714" w:rsidRDefault="00E13714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:rsidR="00E13714" w:rsidRDefault="009B4DEA">
      <w:pPr>
        <w:pStyle w:val="Default"/>
        <w:jc w:val="center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VIII. YAKUNIY SHARTLAR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8.1. </w:t>
      </w:r>
      <w:r>
        <w:rPr>
          <w:sz w:val="22"/>
          <w:szCs w:val="22"/>
          <w:lang w:val="en-US"/>
        </w:rPr>
        <w:t>Ushbu shartnoma «TOMONLAR» tomonidan imzolangan kundan boshlab kuchga kiradi va «TO</w:t>
      </w:r>
      <w:r>
        <w:rPr>
          <w:sz w:val="22"/>
          <w:szCs w:val="22"/>
          <w:lang w:val="en-US"/>
        </w:rPr>
        <w:t xml:space="preserve">MONLAR» oʻz majburiyatlarini toʻliq bajargunga qadar amal qiladi. 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8.2. </w:t>
      </w:r>
      <w:r>
        <w:rPr>
          <w:sz w:val="22"/>
          <w:szCs w:val="22"/>
          <w:lang w:val="en-US"/>
        </w:rPr>
        <w:t>Ushbu Shartnomaga kiritilgan har qanday oʻzgartirish va qoʻshimchalar, agar ular yozma ravishda tuzilgan va tomonlarning vakolatli vakillari tomonidan imzolangan boʻlsa, haqiqiy hisobl</w:t>
      </w:r>
      <w:r>
        <w:rPr>
          <w:sz w:val="22"/>
          <w:szCs w:val="22"/>
          <w:lang w:val="en-US"/>
        </w:rPr>
        <w:t xml:space="preserve">anadi. 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8.3. «</w:t>
      </w:r>
      <w:r>
        <w:rPr>
          <w:sz w:val="22"/>
          <w:szCs w:val="22"/>
          <w:lang w:val="en-US"/>
        </w:rPr>
        <w:t xml:space="preserve">TOMON»larning hech biri boshqa «TOMON» ning yozma roziligisiz shartnoma boʻyicha oʻz huquqlarini uchinchi tomonga oʻtkazishga haqli emas. 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8.4. Ushbu shartnoma ikki nusxada tuzil</w:t>
      </w:r>
      <w:r>
        <w:rPr>
          <w:sz w:val="22"/>
          <w:szCs w:val="22"/>
          <w:lang w:val="en-US"/>
        </w:rPr>
        <w:t xml:space="preserve">di. Ikkala nusxa ham bir xil va bir xil yuridik kuchga ega. «TOMON» larning har biri ushbu Shartnomaning bitta nusxasiga ega. </w:t>
      </w:r>
    </w:p>
    <w:p w:rsidR="00E13714" w:rsidRDefault="009B4DEA">
      <w:pPr>
        <w:pStyle w:val="Default"/>
        <w:ind w:firstLine="708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8.5. </w:t>
      </w:r>
      <w:r>
        <w:rPr>
          <w:sz w:val="22"/>
          <w:szCs w:val="22"/>
          <w:lang w:val="en-US"/>
        </w:rPr>
        <w:t>Ushbu Shartnomada nazarda tutilmagan barcha masalalarda «TOMONLAR» Oʻzbekiston Respublikasining amaldagi qonunchiligiga amal</w:t>
      </w:r>
      <w:r>
        <w:rPr>
          <w:sz w:val="22"/>
          <w:szCs w:val="22"/>
          <w:lang w:val="en-US"/>
        </w:rPr>
        <w:t xml:space="preserve"> qiladilar. </w:t>
      </w:r>
    </w:p>
    <w:p w:rsidR="00E13714" w:rsidRDefault="00E13714">
      <w:pPr>
        <w:pStyle w:val="Default"/>
        <w:ind w:firstLine="708"/>
        <w:jc w:val="both"/>
        <w:rPr>
          <w:sz w:val="22"/>
          <w:szCs w:val="22"/>
          <w:lang w:val="en-US"/>
        </w:rPr>
      </w:pPr>
    </w:p>
    <w:p w:rsidR="00E13714" w:rsidRDefault="009B4DEA">
      <w:pPr>
        <w:ind w:firstLine="72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IX</w:t>
      </w:r>
      <w:r>
        <w:rPr>
          <w:rFonts w:ascii="Times New Roman" w:hAnsi="Times New Roman" w:cs="Times New Roman"/>
          <w:b/>
          <w:lang w:val="en-US"/>
        </w:rPr>
        <w:t>. TOMONLARNING REKVIZITLARI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2"/>
      </w:tblGrid>
      <w:tr w:rsidR="00E13714">
        <w:trPr>
          <w:trHeight w:val="375"/>
        </w:trPr>
        <w:tc>
          <w:tcPr>
            <w:tcW w:w="4672" w:type="dxa"/>
          </w:tcPr>
          <w:p w:rsidR="00E13714" w:rsidRDefault="009B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SOTUVCHI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:</w:t>
            </w:r>
          </w:p>
        </w:tc>
        <w:tc>
          <w:tcPr>
            <w:tcW w:w="4962" w:type="dxa"/>
          </w:tcPr>
          <w:p w:rsidR="00E13714" w:rsidRDefault="009B4DEA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XARIDOR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:</w:t>
            </w:r>
          </w:p>
        </w:tc>
      </w:tr>
      <w:tr w:rsidR="00E13714" w:rsidRPr="00E149B7">
        <w:trPr>
          <w:trHeight w:val="3104"/>
        </w:trPr>
        <w:tc>
          <w:tcPr>
            <w:tcW w:w="4672" w:type="dxa"/>
          </w:tcPr>
          <w:p w:rsidR="00E13714" w:rsidRDefault="009B4DEA">
            <w:pPr>
              <w:pStyle w:val="Heading1"/>
              <w:jc w:val="center"/>
            </w:pPr>
            <w:r>
              <w:t>“SUN-HIGHTECH” MCHJ</w:t>
            </w:r>
          </w:p>
          <w:p w:rsidR="00E13714" w:rsidRDefault="009B4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Manzil: ${seller_address}</w:t>
            </w:r>
          </w:p>
          <w:p w:rsidR="00E13714" w:rsidRDefault="009B4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STIR: ${seller_inn}</w:t>
            </w:r>
          </w:p>
          <w:p w:rsidR="00E13714" w:rsidRDefault="009B4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h/r: ${seller_payment_account}</w:t>
            </w:r>
          </w:p>
          <w:p w:rsidR="00E13714" w:rsidRDefault="009B4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Bank: ${seller_bank_name}</w:t>
            </w:r>
          </w:p>
          <w:p w:rsidR="00E13714" w:rsidRDefault="009B4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Rakat filiali MFO: ${seller_mfo}</w:t>
            </w:r>
          </w:p>
          <w:p w:rsidR="00E13714" w:rsidRDefault="009B4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OKED: ${seller_oked}</w:t>
            </w:r>
          </w:p>
          <w:p w:rsidR="00E13714" w:rsidRDefault="009B4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Тel: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${seller_phone}</w:t>
            </w:r>
          </w:p>
          <w:p w:rsidR="00E13714" w:rsidRDefault="00E13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13714" w:rsidRDefault="009B4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Bosh direktor     _____________    ${seller_director_full_name}</w:t>
            </w:r>
          </w:p>
        </w:tc>
        <w:tc>
          <w:tcPr>
            <w:tcW w:w="4962" w:type="dxa"/>
          </w:tcPr>
          <w:p w:rsidR="00E13714" w:rsidRDefault="009B4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"${client_company_name}" MCHJ</w:t>
            </w:r>
          </w:p>
          <w:p w:rsidR="00E13714" w:rsidRDefault="009B4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Manzil: ${client_address}</w:t>
            </w:r>
          </w:p>
          <w:p w:rsidR="00E13714" w:rsidRDefault="009B4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STIR: ${client_inn}</w:t>
            </w:r>
          </w:p>
          <w:p w:rsidR="00E13714" w:rsidRDefault="009B4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h/r: ${client_payment_account}</w:t>
            </w:r>
          </w:p>
          <w:p w:rsidR="00E13714" w:rsidRDefault="009B4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Bank: ${client_bank_name}</w:t>
            </w:r>
          </w:p>
          <w:p w:rsidR="00E13714" w:rsidRDefault="009B4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MFO: ${client_mfo}</w:t>
            </w:r>
          </w:p>
          <w:p w:rsidR="00E13714" w:rsidRDefault="00E137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13714" w:rsidRDefault="009B4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Тel: ${client_phone}</w:t>
            </w:r>
          </w:p>
          <w:p w:rsidR="00E13714" w:rsidRDefault="00E13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13714" w:rsidRDefault="00E13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13714" w:rsidRDefault="009B4DEA">
            <w:pPr>
              <w:pStyle w:val="Heading1"/>
            </w:pPr>
            <w:r>
              <w:t xml:space="preserve">Direktor    ${client_full_name} </w:t>
            </w:r>
            <w:r>
              <w:br/>
            </w:r>
          </w:p>
        </w:tc>
      </w:tr>
    </w:tbl>
    <w:p w:rsidR="00E13714" w:rsidRDefault="00E13714">
      <w:pPr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13714" w:rsidRDefault="00E13714">
      <w:pPr>
        <w:pStyle w:val="Default"/>
        <w:ind w:firstLine="708"/>
        <w:jc w:val="both"/>
        <w:rPr>
          <w:sz w:val="22"/>
          <w:szCs w:val="22"/>
          <w:lang w:val="en-US"/>
        </w:rPr>
      </w:pPr>
    </w:p>
    <w:p w:rsidR="00E13714" w:rsidRDefault="00E13714">
      <w:pPr>
        <w:pStyle w:val="Default"/>
        <w:ind w:firstLine="708"/>
        <w:jc w:val="both"/>
        <w:rPr>
          <w:sz w:val="22"/>
          <w:szCs w:val="22"/>
          <w:lang w:val="en-US"/>
        </w:rPr>
      </w:pPr>
    </w:p>
    <w:p w:rsidR="00E13714" w:rsidRDefault="00E13714">
      <w:pPr>
        <w:pStyle w:val="Default"/>
        <w:ind w:firstLine="708"/>
        <w:jc w:val="both"/>
        <w:rPr>
          <w:sz w:val="22"/>
          <w:szCs w:val="22"/>
          <w:lang w:val="en-US"/>
        </w:rPr>
      </w:pPr>
    </w:p>
    <w:p w:rsidR="00E13714" w:rsidRDefault="00E13714">
      <w:pPr>
        <w:pStyle w:val="Default"/>
        <w:ind w:firstLine="708"/>
        <w:jc w:val="both"/>
        <w:rPr>
          <w:sz w:val="22"/>
          <w:szCs w:val="22"/>
          <w:lang w:val="en-US"/>
        </w:rPr>
      </w:pPr>
    </w:p>
    <w:p w:rsidR="00E13714" w:rsidRDefault="00E13714">
      <w:pPr>
        <w:pStyle w:val="Default"/>
        <w:jc w:val="right"/>
        <w:rPr>
          <w:b/>
          <w:bCs/>
          <w:sz w:val="22"/>
          <w:szCs w:val="22"/>
          <w:lang w:val="en-US"/>
        </w:rPr>
      </w:pPr>
    </w:p>
    <w:p w:rsidR="00E13714" w:rsidRDefault="00E13714">
      <w:pPr>
        <w:pStyle w:val="Default"/>
        <w:jc w:val="right"/>
        <w:rPr>
          <w:b/>
          <w:bCs/>
          <w:sz w:val="22"/>
          <w:szCs w:val="22"/>
          <w:lang w:val="en-US"/>
        </w:rPr>
      </w:pPr>
    </w:p>
    <w:p w:rsidR="00E13714" w:rsidRDefault="00E13714">
      <w:pPr>
        <w:pStyle w:val="Default"/>
        <w:jc w:val="right"/>
        <w:rPr>
          <w:b/>
          <w:bCs/>
          <w:sz w:val="22"/>
          <w:szCs w:val="22"/>
          <w:lang w:val="en-US"/>
        </w:rPr>
      </w:pPr>
    </w:p>
    <w:p w:rsidR="00E13714" w:rsidRDefault="00E13714">
      <w:pPr>
        <w:pStyle w:val="Default"/>
        <w:jc w:val="right"/>
        <w:rPr>
          <w:b/>
          <w:bCs/>
          <w:sz w:val="22"/>
          <w:szCs w:val="22"/>
          <w:lang w:val="en-US"/>
        </w:rPr>
      </w:pPr>
    </w:p>
    <w:p w:rsidR="00E13714" w:rsidRDefault="00E13714">
      <w:pPr>
        <w:pStyle w:val="Default"/>
        <w:jc w:val="right"/>
        <w:rPr>
          <w:b/>
          <w:bCs/>
          <w:sz w:val="22"/>
          <w:szCs w:val="22"/>
          <w:lang w:val="en-US"/>
        </w:rPr>
      </w:pPr>
    </w:p>
    <w:p w:rsidR="00E13714" w:rsidRDefault="00E13714">
      <w:pPr>
        <w:pStyle w:val="Default"/>
        <w:jc w:val="right"/>
        <w:rPr>
          <w:b/>
          <w:bCs/>
          <w:sz w:val="22"/>
          <w:szCs w:val="22"/>
          <w:lang w:val="en-US"/>
        </w:rPr>
      </w:pPr>
    </w:p>
    <w:p w:rsidR="00E13714" w:rsidRDefault="00E13714">
      <w:pPr>
        <w:pStyle w:val="Default"/>
        <w:jc w:val="right"/>
        <w:rPr>
          <w:b/>
          <w:bCs/>
          <w:sz w:val="22"/>
          <w:szCs w:val="22"/>
          <w:lang w:val="en-US"/>
        </w:rPr>
      </w:pPr>
    </w:p>
    <w:p w:rsidR="00E13714" w:rsidRDefault="00E13714">
      <w:pPr>
        <w:pStyle w:val="Default"/>
        <w:jc w:val="right"/>
        <w:rPr>
          <w:b/>
          <w:bCs/>
          <w:sz w:val="22"/>
          <w:szCs w:val="22"/>
          <w:lang w:val="en-US"/>
        </w:rPr>
      </w:pPr>
    </w:p>
    <w:p w:rsidR="00E13714" w:rsidRDefault="00E13714">
      <w:pPr>
        <w:pStyle w:val="Default"/>
        <w:jc w:val="right"/>
        <w:rPr>
          <w:b/>
          <w:bCs/>
          <w:sz w:val="22"/>
          <w:szCs w:val="22"/>
          <w:lang w:val="en-US"/>
        </w:rPr>
      </w:pPr>
    </w:p>
    <w:p w:rsidR="00E13714" w:rsidRDefault="00E13714">
      <w:pPr>
        <w:pStyle w:val="Default"/>
        <w:jc w:val="right"/>
        <w:rPr>
          <w:b/>
          <w:bCs/>
          <w:sz w:val="22"/>
          <w:szCs w:val="22"/>
          <w:lang w:val="en-US"/>
        </w:rPr>
      </w:pPr>
    </w:p>
    <w:p w:rsidR="00E13714" w:rsidRDefault="00E13714">
      <w:pPr>
        <w:pStyle w:val="Default"/>
        <w:jc w:val="right"/>
        <w:rPr>
          <w:b/>
          <w:bCs/>
          <w:sz w:val="22"/>
          <w:szCs w:val="22"/>
          <w:lang w:val="en-US"/>
        </w:rPr>
      </w:pPr>
    </w:p>
    <w:p w:rsidR="00E13714" w:rsidRDefault="00E13714">
      <w:pPr>
        <w:pStyle w:val="Default"/>
        <w:jc w:val="right"/>
        <w:rPr>
          <w:b/>
          <w:bCs/>
          <w:sz w:val="22"/>
          <w:szCs w:val="22"/>
          <w:lang w:val="en-US"/>
        </w:rPr>
      </w:pPr>
    </w:p>
    <w:p w:rsidR="00E13714" w:rsidRDefault="009B4DEA">
      <w:pPr>
        <w:pStyle w:val="Default"/>
        <w:jc w:val="right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uz-Cyrl-UZ"/>
        </w:rPr>
        <w:t>“</w:t>
      </w:r>
      <w:r>
        <w:rPr>
          <w:b/>
          <w:bCs/>
          <w:sz w:val="22"/>
          <w:szCs w:val="22"/>
          <w:lang w:val="en-US"/>
        </w:rPr>
        <w:t>${date_day_in_num}</w:t>
      </w:r>
      <w:r>
        <w:rPr>
          <w:b/>
          <w:bCs/>
          <w:sz w:val="22"/>
          <w:szCs w:val="22"/>
          <w:lang w:val="uz-Cyrl-UZ"/>
        </w:rPr>
        <w:t xml:space="preserve">” </w:t>
      </w:r>
      <w:r>
        <w:rPr>
          <w:b/>
          <w:bCs/>
          <w:sz w:val="22"/>
          <w:szCs w:val="22"/>
          <w:lang w:val="en-US"/>
        </w:rPr>
        <w:t xml:space="preserve">${date_month} ${date_year_in_num} yil </w:t>
      </w:r>
    </w:p>
    <w:p w:rsidR="00E13714" w:rsidRDefault="009B4DEA">
      <w:pPr>
        <w:pStyle w:val="Default"/>
        <w:jc w:val="right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uz-Cyrl-UZ"/>
        </w:rPr>
        <w:t>№</w:t>
      </w:r>
      <w:r>
        <w:rPr>
          <w:b/>
          <w:bCs/>
          <w:sz w:val="22"/>
          <w:szCs w:val="22"/>
          <w:lang w:val="en-US"/>
        </w:rPr>
        <w:t xml:space="preserve">${contract_number}-sonli shartnomaga </w:t>
      </w:r>
    </w:p>
    <w:p w:rsidR="00E13714" w:rsidRDefault="009B4DEA">
      <w:pPr>
        <w:pStyle w:val="Default"/>
        <w:ind w:firstLine="708"/>
        <w:jc w:val="right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1-ilova</w:t>
      </w:r>
    </w:p>
    <w:p w:rsidR="00E13714" w:rsidRDefault="00E13714">
      <w:pPr>
        <w:pStyle w:val="Default"/>
        <w:ind w:firstLine="708"/>
        <w:jc w:val="right"/>
        <w:rPr>
          <w:b/>
          <w:bCs/>
          <w:sz w:val="22"/>
          <w:szCs w:val="22"/>
          <w:lang w:val="en-US"/>
        </w:rPr>
      </w:pPr>
    </w:p>
    <w:p w:rsidR="00E13714" w:rsidRDefault="00E13714">
      <w:pPr>
        <w:pStyle w:val="Default"/>
        <w:ind w:firstLine="708"/>
        <w:jc w:val="right"/>
        <w:rPr>
          <w:b/>
          <w:bCs/>
          <w:sz w:val="22"/>
          <w:szCs w:val="22"/>
          <w:lang w:val="en-US"/>
        </w:rPr>
      </w:pPr>
    </w:p>
    <w:p w:rsidR="00E13714" w:rsidRDefault="00E13714">
      <w:pPr>
        <w:pStyle w:val="Default"/>
        <w:ind w:firstLine="708"/>
        <w:jc w:val="right"/>
        <w:rPr>
          <w:b/>
          <w:bCs/>
          <w:sz w:val="22"/>
          <w:szCs w:val="22"/>
          <w:lang w:val="en-US"/>
        </w:rPr>
      </w:pPr>
    </w:p>
    <w:p w:rsidR="00E13714" w:rsidRDefault="009B4DEA">
      <w:pPr>
        <w:pStyle w:val="Default"/>
        <w:ind w:firstLine="708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SPETSIFIKATSIYA</w:t>
      </w:r>
    </w:p>
    <w:p w:rsidR="00E149B7" w:rsidRDefault="00E149B7" w:rsidP="00E149B7">
      <w:pPr>
        <w:pStyle w:val="Default"/>
        <w:ind w:firstLine="708"/>
        <w:jc w:val="center"/>
        <w:rPr>
          <w:b/>
          <w:bCs/>
          <w:sz w:val="22"/>
          <w:szCs w:val="22"/>
          <w:lang w:val="en-US"/>
        </w:rPr>
      </w:pPr>
    </w:p>
    <w:tbl>
      <w:tblPr>
        <w:tblW w:w="10339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544"/>
        <w:gridCol w:w="1170"/>
        <w:gridCol w:w="1170"/>
        <w:gridCol w:w="1170"/>
        <w:gridCol w:w="1170"/>
        <w:gridCol w:w="1170"/>
        <w:gridCol w:w="1170"/>
        <w:gridCol w:w="1350"/>
      </w:tblGrid>
      <w:tr w:rsidR="00E149B7" w:rsidRPr="00D80D0E" w:rsidTr="00985C3F">
        <w:trPr>
          <w:trHeight w:val="11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49B7" w:rsidRDefault="00E149B7" w:rsidP="00985C3F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uz-Cyrl-UZ"/>
              </w:rPr>
              <w:t>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49B7" w:rsidRDefault="00E149B7" w:rsidP="00985C3F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Mahsulot nomi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9B7" w:rsidRDefault="00E149B7" w:rsidP="00985C3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Oʻlch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ov </w:t>
            </w:r>
            <w:r>
              <w:rPr>
                <w:b/>
                <w:bCs/>
                <w:sz w:val="22"/>
                <w:szCs w:val="22"/>
              </w:rPr>
              <w:t>bir</w:t>
            </w:r>
            <w:r>
              <w:rPr>
                <w:b/>
                <w:bCs/>
                <w:sz w:val="22"/>
                <w:szCs w:val="22"/>
                <w:lang w:val="en-US"/>
              </w:rPr>
              <w:t>ligi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E149B7" w:rsidRDefault="00E149B7" w:rsidP="00985C3F">
            <w:pPr>
              <w:spacing w:after="0" w:line="288" w:lineRule="auto"/>
              <w:ind w:left="-104" w:right="-10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9B7" w:rsidRDefault="00E149B7" w:rsidP="00985C3F">
            <w:pPr>
              <w:spacing w:after="0" w:line="288" w:lineRule="auto"/>
              <w:ind w:left="-113" w:right="-112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Soni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9B7" w:rsidRDefault="00E149B7" w:rsidP="00985C3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Narxi (soʻm) </w:t>
            </w:r>
          </w:p>
          <w:p w:rsidR="00E149B7" w:rsidRDefault="00E149B7" w:rsidP="00985C3F">
            <w:pPr>
              <w:pStyle w:val="Default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QQS </w:t>
            </w:r>
            <w:r>
              <w:rPr>
                <w:b/>
                <w:bCs/>
                <w:sz w:val="22"/>
                <w:szCs w:val="22"/>
                <w:lang w:val="en-US"/>
              </w:rPr>
              <w:t>siz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9B7" w:rsidRDefault="00E149B7" w:rsidP="00985C3F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12% QQS, (soʻm)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9B7" w:rsidRDefault="00E149B7" w:rsidP="00985C3F">
            <w:pPr>
              <w:pStyle w:val="Defaul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Yetkazib berish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B7" w:rsidRDefault="00E149B7" w:rsidP="00985C3F">
            <w:pPr>
              <w:pStyle w:val="Defaul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O`rnatib ber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9B7" w:rsidRDefault="00E149B7" w:rsidP="00985C3F">
            <w:pPr>
              <w:pStyle w:val="Defaul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Jami qiymati </w:t>
            </w:r>
          </w:p>
          <w:p w:rsidR="00E149B7" w:rsidRDefault="00E149B7" w:rsidP="00985C3F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12 % QQS bilan (soʻm) </w:t>
            </w:r>
          </w:p>
          <w:p w:rsidR="00E149B7" w:rsidRDefault="00E149B7" w:rsidP="00985C3F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</w:p>
        </w:tc>
      </w:tr>
      <w:tr w:rsidR="00E149B7" w:rsidTr="00985C3F">
        <w:trPr>
          <w:trHeight w:val="5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9B7" w:rsidRDefault="00E149B7" w:rsidP="00985C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  <w:p w:rsidR="00E149B7" w:rsidRDefault="00E149B7" w:rsidP="00985C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${product_index}</w:t>
            </w:r>
          </w:p>
          <w:p w:rsidR="00E149B7" w:rsidRDefault="00E149B7" w:rsidP="00985C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49B7" w:rsidRDefault="00E149B7" w:rsidP="00985C3F">
            <w:pPr>
              <w:spacing w:after="0" w:line="240" w:lineRule="auto"/>
              <w:ind w:right="-113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${product_name}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9B7" w:rsidRDefault="00E149B7" w:rsidP="00985C3F">
            <w:pPr>
              <w:spacing w:after="0" w:line="288" w:lineRule="auto"/>
              <w:ind w:left="-104" w:right="-106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${measurement}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9B7" w:rsidRDefault="00E149B7" w:rsidP="00985C3F">
            <w:pPr>
              <w:spacing w:after="0" w:line="28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${product_count}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9B7" w:rsidRDefault="00E149B7" w:rsidP="00985C3F">
            <w:pPr>
              <w:spacing w:after="0" w:line="288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${product_price}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9B7" w:rsidRDefault="00E149B7" w:rsidP="00985C3F">
            <w:pPr>
              <w:spacing w:after="0" w:line="288" w:lineRule="auto"/>
              <w:ind w:left="-114" w:right="-118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${product_tax_itself}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9B7" w:rsidRDefault="00E149B7" w:rsidP="00985C3F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${price_delivery}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B7" w:rsidRDefault="00E149B7" w:rsidP="00985C3F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${price_master}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9B7" w:rsidRDefault="00E149B7" w:rsidP="00985C3F">
            <w:pPr>
              <w:spacing w:after="0" w:line="288" w:lineRule="auto"/>
              <w:ind w:left="-114" w:right="-118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${product_price_with_tax}</w:t>
            </w:r>
          </w:p>
        </w:tc>
      </w:tr>
      <w:tr w:rsidR="00E149B7" w:rsidRPr="00D80D0E" w:rsidTr="00985C3F">
        <w:trPr>
          <w:trHeight w:val="5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9B7" w:rsidRDefault="00E149B7" w:rsidP="00985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49B7" w:rsidRDefault="00E149B7" w:rsidP="00985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ЖАМИ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9B7" w:rsidRDefault="00E149B7" w:rsidP="00985C3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9B7" w:rsidRDefault="00E149B7" w:rsidP="00985C3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${total_product_count}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9B7" w:rsidRDefault="00E149B7" w:rsidP="00985C3F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${product_total_price}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49B7" w:rsidRDefault="00E149B7" w:rsidP="00985C3F">
            <w:pPr>
              <w:spacing w:after="0" w:line="288" w:lineRule="auto"/>
              <w:ind w:left="-114" w:right="-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${product_tax_itself_total}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9B7" w:rsidRDefault="00E149B7" w:rsidP="00985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${price_delivery_total}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9B7" w:rsidRDefault="00E149B7" w:rsidP="00985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${price_master_total}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9B7" w:rsidRDefault="00E149B7" w:rsidP="00985C3F">
            <w:pPr>
              <w:spacing w:after="0" w:line="288" w:lineRule="auto"/>
              <w:ind w:left="-114" w:right="-118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${product_price_with_tax_total}</w:t>
            </w:r>
          </w:p>
        </w:tc>
      </w:tr>
    </w:tbl>
    <w:p w:rsidR="00E13714" w:rsidRDefault="00E13714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1" w:name="_GoBack"/>
      <w:bookmarkEnd w:id="1"/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2"/>
      </w:tblGrid>
      <w:tr w:rsidR="00E13714">
        <w:trPr>
          <w:trHeight w:val="375"/>
        </w:trPr>
        <w:tc>
          <w:tcPr>
            <w:tcW w:w="4672" w:type="dxa"/>
          </w:tcPr>
          <w:p w:rsidR="00E13714" w:rsidRDefault="009B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SOTUVCHI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:</w:t>
            </w:r>
          </w:p>
        </w:tc>
        <w:tc>
          <w:tcPr>
            <w:tcW w:w="4962" w:type="dxa"/>
          </w:tcPr>
          <w:p w:rsidR="00E13714" w:rsidRDefault="009B4DEA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XARIDOR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:</w:t>
            </w:r>
          </w:p>
        </w:tc>
      </w:tr>
      <w:tr w:rsidR="00E13714" w:rsidRPr="00E149B7">
        <w:trPr>
          <w:trHeight w:val="3104"/>
        </w:trPr>
        <w:tc>
          <w:tcPr>
            <w:tcW w:w="4672" w:type="dxa"/>
          </w:tcPr>
          <w:p w:rsidR="00E13714" w:rsidRDefault="009B4DEA">
            <w:pPr>
              <w:pStyle w:val="Heading1"/>
              <w:jc w:val="center"/>
            </w:pPr>
            <w:r>
              <w:t>“SUN-HIGHTECH” MCHJ</w:t>
            </w:r>
          </w:p>
          <w:p w:rsidR="00E13714" w:rsidRDefault="009B4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Manzil: ${seller_address}</w:t>
            </w:r>
          </w:p>
          <w:p w:rsidR="00E13714" w:rsidRDefault="009B4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STIR: ${seller_inn}</w:t>
            </w:r>
          </w:p>
          <w:p w:rsidR="00E13714" w:rsidRDefault="009B4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h/r: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${seller_payment_account}</w:t>
            </w:r>
          </w:p>
          <w:p w:rsidR="00E13714" w:rsidRDefault="009B4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Bank: ${seller_bank_name}</w:t>
            </w:r>
          </w:p>
          <w:p w:rsidR="00E13714" w:rsidRDefault="009B4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Rakat filiali MFO: ${seller_mfo}</w:t>
            </w:r>
          </w:p>
          <w:p w:rsidR="00E13714" w:rsidRDefault="009B4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OKED: ${seller_oked}</w:t>
            </w:r>
          </w:p>
          <w:p w:rsidR="00E13714" w:rsidRDefault="009B4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Тel: ${seller_phone}</w:t>
            </w:r>
          </w:p>
          <w:p w:rsidR="00E13714" w:rsidRDefault="00E13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13714" w:rsidRDefault="009B4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Bosh direktor     _____________    ${seller_director_full_name}</w:t>
            </w:r>
          </w:p>
        </w:tc>
        <w:tc>
          <w:tcPr>
            <w:tcW w:w="4962" w:type="dxa"/>
          </w:tcPr>
          <w:p w:rsidR="00E13714" w:rsidRDefault="009B4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"${client_company_name}" MCHJ</w:t>
            </w:r>
          </w:p>
          <w:p w:rsidR="00E13714" w:rsidRDefault="009B4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Manzil: ${client_address}</w:t>
            </w:r>
          </w:p>
          <w:p w:rsidR="00E13714" w:rsidRDefault="009B4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STIR: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${client_inn}</w:t>
            </w:r>
          </w:p>
          <w:p w:rsidR="00E13714" w:rsidRDefault="009B4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h/r: ${client_payment_account}</w:t>
            </w:r>
          </w:p>
          <w:p w:rsidR="00E13714" w:rsidRDefault="009B4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Bank: ${client_bank_name}</w:t>
            </w:r>
          </w:p>
          <w:p w:rsidR="00E13714" w:rsidRDefault="009B4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MFO: ${client_mfo}</w:t>
            </w:r>
          </w:p>
          <w:p w:rsidR="00E13714" w:rsidRDefault="00E137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13714" w:rsidRDefault="009B4D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Тel: ${client_phone}</w:t>
            </w:r>
          </w:p>
          <w:p w:rsidR="00E13714" w:rsidRDefault="00E13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13714" w:rsidRDefault="00E13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13714" w:rsidRDefault="009B4D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Direktor    ${client_full_name}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br/>
            </w:r>
          </w:p>
        </w:tc>
      </w:tr>
    </w:tbl>
    <w:p w:rsidR="00E13714" w:rsidRDefault="00E13714">
      <w:pPr>
        <w:pStyle w:val="Default"/>
        <w:ind w:firstLine="708"/>
        <w:jc w:val="center"/>
        <w:rPr>
          <w:sz w:val="22"/>
          <w:szCs w:val="22"/>
          <w:lang w:val="en-US"/>
        </w:rPr>
      </w:pPr>
    </w:p>
    <w:sectPr w:rsidR="00E13714">
      <w:pgSz w:w="11906" w:h="16838"/>
      <w:pgMar w:top="426" w:right="850" w:bottom="1134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DEA" w:rsidRDefault="009B4DEA">
      <w:pPr>
        <w:spacing w:line="240" w:lineRule="auto"/>
      </w:pPr>
      <w:r>
        <w:separator/>
      </w:r>
    </w:p>
  </w:endnote>
  <w:endnote w:type="continuationSeparator" w:id="0">
    <w:p w:rsidR="009B4DEA" w:rsidRDefault="009B4D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DEA" w:rsidRDefault="009B4DEA">
      <w:pPr>
        <w:spacing w:after="0"/>
      </w:pPr>
      <w:r>
        <w:separator/>
      </w:r>
    </w:p>
  </w:footnote>
  <w:footnote w:type="continuationSeparator" w:id="0">
    <w:p w:rsidR="009B4DEA" w:rsidRDefault="009B4D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14"/>
    <w:rsid w:val="009B4DEA"/>
    <w:rsid w:val="00E13714"/>
    <w:rsid w:val="00E1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1B081-ACA4-4B74-8F6E-02D78C19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/>
      <w:sz w:val="26"/>
      <w:szCs w:val="2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rFonts w:eastAsiaTheme="minorHAnsi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Алишер Рузматов</dc:creator>
  <cp:lastModifiedBy>USER</cp:lastModifiedBy>
  <cp:revision>5</cp:revision>
  <dcterms:created xsi:type="dcterms:W3CDTF">2024-09-06T18:06:00Z</dcterms:created>
  <dcterms:modified xsi:type="dcterms:W3CDTF">2024-11-14T09:56:00Z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1033-6.10.1.8197</vt:lpwstr>
  </property>
  <property fmtid="{D5CDD505-2E9C-101B-9397-08002B2CF9AE}" pid="3" name="ICV">
    <vt:lpwstr>B2D49094435BFB3C0B68F166CCCE9666_42</vt:lpwstr>
  </property>
</Properties>
</file>